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F42" w:rsidRDefault="00FD1F42" w:rsidP="007B6BA5">
      <w:pPr>
        <w:autoSpaceDE w:val="0"/>
        <w:autoSpaceDN w:val="0"/>
        <w:adjustRightInd w:val="0"/>
        <w:spacing w:line="300" w:lineRule="auto"/>
        <w:ind w:leftChars="75" w:left="180" w:firstLine="300"/>
        <w:rPr>
          <w:rFonts w:hint="eastAsia"/>
          <w:kern w:val="0"/>
          <w:sz w:val="26"/>
          <w:szCs w:val="26"/>
        </w:rPr>
      </w:pPr>
      <w:bookmarkStart w:id="0" w:name="_GoBack"/>
      <w:bookmarkEnd w:id="0"/>
      <w:r w:rsidRPr="00FD1F42">
        <w:rPr>
          <w:kern w:val="0"/>
          <w:sz w:val="26"/>
          <w:szCs w:val="26"/>
        </w:rPr>
        <w:t>Obstacles to answering clinical questions can be grouped into physician-related obstacles and resource-related obstacles. Physician-related obstacles include the failure to recognize an information need, the decision to pursue questions only when answers are thought to exist,</w:t>
      </w:r>
      <w:r w:rsidR="007B6BA5">
        <w:rPr>
          <w:rFonts w:hint="eastAsia"/>
          <w:kern w:val="0"/>
          <w:sz w:val="26"/>
          <w:szCs w:val="26"/>
        </w:rPr>
        <w:t xml:space="preserve"> t</w:t>
      </w:r>
      <w:r w:rsidR="007B6BA5" w:rsidRPr="00FD1F42">
        <w:rPr>
          <w:kern w:val="0"/>
          <w:sz w:val="26"/>
          <w:szCs w:val="26"/>
        </w:rPr>
        <w:t>he preference for the most convenient resource rather than the most appropriate one, and the tendency to formulate questions that are difficult to answer with general resources</w:t>
      </w:r>
      <w:r w:rsidR="007B6BA5">
        <w:rPr>
          <w:rFonts w:hint="eastAsia"/>
          <w:kern w:val="0"/>
          <w:sz w:val="26"/>
          <w:szCs w:val="26"/>
        </w:rPr>
        <w:t>.</w:t>
      </w:r>
      <w:r w:rsidR="007B6BA5" w:rsidRPr="00FD1F42">
        <w:rPr>
          <w:noProof/>
          <w:kern w:val="0"/>
          <w:sz w:val="26"/>
          <w:szCs w:val="26"/>
        </w:rPr>
        <w:t xml:space="preserve"> </w:t>
      </w:r>
      <w:r w:rsidR="007B6BA5">
        <w:rPr>
          <w:noProof/>
          <w:kern w:val="0"/>
          <w:sz w:val="26"/>
          <w:szCs w:val="26"/>
        </w:rPr>
        <w:t>…</w:t>
      </w:r>
      <w:r w:rsidR="007B6BA5">
        <w:rPr>
          <w:kern w:val="0"/>
          <w:sz w:val="26"/>
          <w:szCs w:val="26"/>
        </w:rPr>
        <w:t>…</w:t>
      </w:r>
      <w:r w:rsidR="007B6BA5">
        <w:rPr>
          <w:rFonts w:hint="eastAsia"/>
          <w:kern w:val="0"/>
          <w:sz w:val="26"/>
          <w:szCs w:val="26"/>
        </w:rPr>
        <w:t xml:space="preserve">. </w:t>
      </w:r>
    </w:p>
    <w:p w:rsidR="00605090" w:rsidRDefault="00605090" w:rsidP="00FD1F42">
      <w:pPr>
        <w:autoSpaceDE w:val="0"/>
        <w:autoSpaceDN w:val="0"/>
        <w:adjustRightInd w:val="0"/>
        <w:spacing w:line="300" w:lineRule="auto"/>
        <w:ind w:leftChars="75" w:left="180"/>
        <w:rPr>
          <w:rFonts w:hint="eastAsia"/>
          <w:kern w:val="0"/>
          <w:sz w:val="26"/>
          <w:szCs w:val="26"/>
        </w:rPr>
      </w:pPr>
    </w:p>
    <w:p w:rsidR="00605090" w:rsidRPr="007B6BA5" w:rsidRDefault="00605090" w:rsidP="00FD1F42">
      <w:pPr>
        <w:autoSpaceDE w:val="0"/>
        <w:autoSpaceDN w:val="0"/>
        <w:adjustRightInd w:val="0"/>
        <w:spacing w:line="300" w:lineRule="auto"/>
        <w:ind w:leftChars="75" w:left="180"/>
        <w:rPr>
          <w:rFonts w:hint="eastAsia"/>
          <w:kern w:val="0"/>
          <w:sz w:val="26"/>
          <w:szCs w:val="26"/>
        </w:rPr>
      </w:pPr>
    </w:p>
    <w:p w:rsidR="00FD1F42" w:rsidRDefault="00FD1F42">
      <w:pPr>
        <w:rPr>
          <w:rFonts w:hint="eastAsia"/>
        </w:rPr>
      </w:pPr>
    </w:p>
    <w:p w:rsidR="00FD1F42" w:rsidRPr="00FD1F42" w:rsidRDefault="00FD1F42">
      <w:pPr>
        <w:rPr>
          <w:rFonts w:hint="eastAsia"/>
          <w:b/>
        </w:rPr>
      </w:pPr>
      <w:r w:rsidRPr="00FD1F42">
        <w:rPr>
          <w:rFonts w:hint="eastAsia"/>
          <w:b/>
        </w:rPr>
        <w:t>REFERENCE</w:t>
      </w:r>
    </w:p>
    <w:p w:rsidR="003A6C04" w:rsidRDefault="003A6C04"/>
    <w:p w:rsidR="003A6C04" w:rsidRDefault="003A6C04"/>
    <w:p w:rsidR="00FD1F42" w:rsidRPr="00FD1F42" w:rsidRDefault="003A6C04">
      <w:pPr>
        <w:rPr>
          <w:rFonts w:hint="eastAsia"/>
        </w:rPr>
      </w:pPr>
      <w:fldSimple w:instr=" ADDIN EN.REFLIST "/>
    </w:p>
    <w:sectPr w:rsidR="00FD1F42" w:rsidRPr="00FD1F42" w:rsidSect="00FD1F42">
      <w:pgSz w:w="12240" w:h="15840"/>
      <w:pgMar w:top="540" w:right="900" w:bottom="144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AC" w:rsidRDefault="00EA68AC" w:rsidP="003A6C04">
      <w:r>
        <w:separator/>
      </w:r>
    </w:p>
  </w:endnote>
  <w:endnote w:type="continuationSeparator" w:id="0">
    <w:p w:rsidR="00EA68AC" w:rsidRDefault="00EA68AC" w:rsidP="003A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AC" w:rsidRDefault="00EA68AC" w:rsidP="003A6C04">
      <w:r>
        <w:separator/>
      </w:r>
    </w:p>
  </w:footnote>
  <w:footnote w:type="continuationSeparator" w:id="0">
    <w:p w:rsidR="00EA68AC" w:rsidRDefault="00EA68AC" w:rsidP="003A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sxz9swtfodsepwevszlpf9f8rxxpfzwvrp00&quot;&gt;ncku&lt;record-ids&gt;&lt;item&gt;2&lt;/item&gt;&lt;item&gt;5&lt;/item&gt;&lt;/record-ids&gt;&lt;/item&gt;&lt;/Libraries&gt;"/>
  </w:docVars>
  <w:rsids>
    <w:rsidRoot w:val="00FD1F42"/>
    <w:rsid w:val="00231CED"/>
    <w:rsid w:val="003A6C04"/>
    <w:rsid w:val="00605090"/>
    <w:rsid w:val="007B6BA5"/>
    <w:rsid w:val="00E261FB"/>
    <w:rsid w:val="00EA68AC"/>
    <w:rsid w:val="00FA7A6E"/>
    <w:rsid w:val="00FD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935B86-7289-4BE0-86B6-224F56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A6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3A6C04"/>
    <w:rPr>
      <w:kern w:val="2"/>
    </w:rPr>
  </w:style>
  <w:style w:type="paragraph" w:styleId="a5">
    <w:name w:val="footer"/>
    <w:basedOn w:val="a"/>
    <w:link w:val="a6"/>
    <w:rsid w:val="003A6C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3A6C04"/>
    <w:rPr>
      <w:kern w:val="2"/>
    </w:rPr>
  </w:style>
  <w:style w:type="paragraph" w:customStyle="1" w:styleId="EndNoteBibliographyTitle">
    <w:name w:val="EndNote Bibliography Title"/>
    <w:basedOn w:val="a"/>
    <w:link w:val="EndNoteBibliographyTitle0"/>
    <w:rsid w:val="003A6C04"/>
    <w:pPr>
      <w:jc w:val="center"/>
    </w:pPr>
    <w:rPr>
      <w:noProof/>
    </w:rPr>
  </w:style>
  <w:style w:type="character" w:customStyle="1" w:styleId="EndNoteBibliographyTitle0">
    <w:name w:val="EndNote Bibliography Title 字元"/>
    <w:link w:val="EndNoteBibliographyTitle"/>
    <w:rsid w:val="003A6C04"/>
    <w:rPr>
      <w:noProof/>
      <w:kern w:val="2"/>
      <w:sz w:val="24"/>
      <w:szCs w:val="24"/>
    </w:rPr>
  </w:style>
  <w:style w:type="paragraph" w:customStyle="1" w:styleId="EndNoteBibliography">
    <w:name w:val="EndNote Bibliography"/>
    <w:basedOn w:val="a"/>
    <w:link w:val="EndNoteBibliography0"/>
    <w:rsid w:val="003A6C04"/>
    <w:rPr>
      <w:noProof/>
    </w:rPr>
  </w:style>
  <w:style w:type="character" w:customStyle="1" w:styleId="EndNoteBibliography0">
    <w:name w:val="EndNote Bibliography 字元"/>
    <w:link w:val="EndNoteBibliography"/>
    <w:rsid w:val="003A6C04"/>
    <w:rPr>
      <w:noProof/>
      <w:kern w:val="2"/>
      <w:sz w:val="24"/>
      <w:szCs w:val="24"/>
    </w:rPr>
  </w:style>
  <w:style w:type="character" w:styleId="a7">
    <w:name w:val="Hyperlink"/>
    <w:rsid w:val="003A6C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mmh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Obstacles to answering clinical questions can be grouped into physician-related obstacles and resource-related obstacles</dc:title>
  <dc:subject/>
  <dc:creator>B070</dc:creator>
  <cp:keywords/>
  <dc:description/>
  <cp:lastModifiedBy>Fang</cp:lastModifiedBy>
  <cp:revision>2</cp:revision>
  <dcterms:created xsi:type="dcterms:W3CDTF">2021-08-17T06:45:00Z</dcterms:created>
  <dcterms:modified xsi:type="dcterms:W3CDTF">2021-08-17T06:45:00Z</dcterms:modified>
</cp:coreProperties>
</file>